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35C9B"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Fonts w:ascii="宋体" w:hAnsi="宋体" w:eastAsia="宋体" w:cs="宋体"/>
          <w:color w:val="000000"/>
          <w:spacing w:val="12"/>
          <w:sz w:val="28"/>
          <w:szCs w:val="22"/>
        </w:rPr>
      </w:pPr>
      <w:r>
        <w:rPr>
          <w:rStyle w:val="6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湖南体育职业学院单独招生考试</w:t>
      </w:r>
    </w:p>
    <w:p w14:paraId="72D4365F"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Style w:val="6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  <w:r>
        <w:rPr>
          <w:rStyle w:val="6"/>
          <w:rFonts w:hint="eastAsia"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  <w:t>融媒体技术与运营专业测试标准</w:t>
      </w:r>
    </w:p>
    <w:p w14:paraId="30A9339B">
      <w:pPr>
        <w:pStyle w:val="2"/>
        <w:widowControl/>
        <w:shd w:val="clear" w:color="auto" w:fill="FFFFFF"/>
        <w:spacing w:line="449" w:lineRule="atLeast"/>
        <w:ind w:firstLine="449"/>
        <w:jc w:val="center"/>
        <w:rPr>
          <w:rStyle w:val="6"/>
          <w:rFonts w:ascii="宋体" w:hAnsi="宋体" w:eastAsia="宋体" w:cs="宋体"/>
          <w:bCs/>
          <w:color w:val="000000"/>
          <w:spacing w:val="12"/>
          <w:sz w:val="28"/>
          <w:szCs w:val="22"/>
          <w:shd w:val="clear" w:color="auto" w:fill="FFFFFF"/>
        </w:rPr>
      </w:pPr>
    </w:p>
    <w:p w14:paraId="5841EA26">
      <w:pPr>
        <w:pStyle w:val="2"/>
        <w:widowControl/>
        <w:shd w:val="clear" w:color="auto" w:fill="FFFFFF"/>
        <w:spacing w:line="360" w:lineRule="auto"/>
        <w:ind w:firstLine="449"/>
        <w:jc w:val="left"/>
        <w:rPr>
          <w:rFonts w:ascii="宋体" w:hAnsi="宋体" w:eastAsia="宋体" w:cs="宋体"/>
          <w:color w:val="000000"/>
          <w:spacing w:val="12"/>
          <w:sz w:val="22"/>
          <w:szCs w:val="22"/>
        </w:rPr>
      </w:pP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本测试标准总分为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100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分，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共分为两个部分，第一部分为写作能力考核（二选一，40分）；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第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二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部分为融媒体运营基础能力考核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  <w:lang w:val="en-US" w:eastAsia="zh-CN"/>
        </w:rPr>
        <w:t>60</w:t>
      </w:r>
      <w:r>
        <w:rPr>
          <w:rFonts w:hint="eastAsia" w:ascii="宋体" w:hAnsi="宋体" w:eastAsia="宋体" w:cs="宋体"/>
          <w:color w:val="000000"/>
          <w:spacing w:val="12"/>
          <w:sz w:val="22"/>
          <w:szCs w:val="22"/>
        </w:rPr>
        <w:t>分）。</w:t>
      </w:r>
    </w:p>
    <w:p w14:paraId="2AAA3991">
      <w:pPr>
        <w:pStyle w:val="2"/>
        <w:widowControl/>
        <w:shd w:val="clear" w:color="auto" w:fill="FFFFFF"/>
        <w:spacing w:line="360" w:lineRule="auto"/>
        <w:ind w:firstLine="449"/>
        <w:jc w:val="left"/>
        <w:rPr>
          <w:rFonts w:hint="eastAsia" w:ascii="宋体" w:hAnsi="宋体" w:eastAsia="宋体" w:cs="宋体"/>
          <w:color w:val="000000"/>
          <w:spacing w:val="12"/>
          <w:sz w:val="22"/>
          <w:szCs w:val="22"/>
        </w:rPr>
      </w:pPr>
    </w:p>
    <w:p w14:paraId="326BDDE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 xml:space="preserve"> 写作能力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40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 w14:paraId="5EB0AC66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该项目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在</w:t>
      </w:r>
      <w:r>
        <w:rPr>
          <w:rFonts w:hint="eastAsia" w:ascii="宋体" w:hAnsi="宋体" w:eastAsia="宋体" w:cs="仿宋"/>
          <w:b/>
          <w:bCs/>
          <w:color w:val="000000"/>
          <w:spacing w:val="12"/>
          <w:sz w:val="22"/>
          <w:szCs w:val="22"/>
          <w:u w:val="single"/>
          <w:shd w:val="clear" w:color="auto" w:fill="FFFFFF"/>
          <w:lang w:val="en-US" w:eastAsia="zh-CN"/>
        </w:rPr>
        <w:t>评述性内容写作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与</w:t>
      </w:r>
      <w:r>
        <w:rPr>
          <w:rFonts w:hint="eastAsia" w:ascii="宋体" w:hAnsi="宋体" w:eastAsia="宋体" w:cs="仿宋"/>
          <w:b/>
          <w:bCs/>
          <w:color w:val="000000"/>
          <w:spacing w:val="12"/>
          <w:sz w:val="22"/>
          <w:szCs w:val="22"/>
          <w:u w:val="single"/>
          <w:shd w:val="clear" w:color="auto" w:fill="FFFFFF"/>
          <w:lang w:val="en-US" w:eastAsia="zh-CN"/>
        </w:rPr>
        <w:t>故事编写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中二选一，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限时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90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分钟。</w:t>
      </w:r>
    </w:p>
    <w:p w14:paraId="73F3EFEE">
      <w:pPr>
        <w:numPr>
          <w:ilvl w:val="0"/>
          <w:numId w:val="0"/>
        </w:num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一、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评述性内容写作</w:t>
      </w:r>
    </w:p>
    <w:p w14:paraId="3079064F">
      <w:pPr>
        <w:numPr>
          <w:ilvl w:val="0"/>
          <w:numId w:val="0"/>
        </w:num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（1）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测试内容</w:t>
      </w:r>
    </w:p>
    <w:p w14:paraId="7518D4F5">
      <w:pPr>
        <w:numPr>
          <w:ilvl w:val="0"/>
          <w:numId w:val="0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阅读给出的材料，根据要求写作，字数不少于600字。</w:t>
      </w:r>
    </w:p>
    <w:p w14:paraId="35AD4360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例题：</w:t>
      </w:r>
    </w:p>
    <w:p w14:paraId="6111DB31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阅读材料，根据要求写作：</w:t>
      </w:r>
    </w:p>
    <w:p w14:paraId="13400578">
      <w:pPr>
        <w:numPr>
          <w:ilvl w:val="0"/>
          <w:numId w:val="1"/>
        </w:num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请依据给出的新闻材料，分析“立法禁止未成年人使用社交媒体是否可行”；</w:t>
      </w:r>
    </w:p>
    <w:p w14:paraId="61AEC8AA">
      <w:pPr>
        <w:numPr>
          <w:ilvl w:val="0"/>
          <w:numId w:val="1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角度自选，标题自拟；</w:t>
      </w:r>
    </w:p>
    <w:p w14:paraId="08632378">
      <w:pPr>
        <w:numPr>
          <w:ilvl w:val="0"/>
          <w:numId w:val="1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观点鲜明，逻辑清晰；</w:t>
      </w:r>
    </w:p>
    <w:p w14:paraId="5725226D">
      <w:pPr>
        <w:numPr>
          <w:ilvl w:val="0"/>
          <w:numId w:val="1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字数不少于600字。</w:t>
      </w:r>
    </w:p>
    <w:p w14:paraId="4CBC2F2F">
      <w:pPr>
        <w:spacing w:line="360" w:lineRule="auto"/>
        <w:ind w:firstLine="488" w:firstLineChars="200"/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继澳大利亚通过法案禁止16岁以下未成年人使用社交媒体后，瑞典、挪威、英国、法国、印尼、巴布亚新几内亚等国也考虑采取类似的限制措施，而社交媒体巨头TikTok、Meta则批评此举留下许多悬而未决的问题。这一禁令能否保护青少年免受社交网络上的伤害，抑或是将他们推向更隐秘的线上危险地带，外界争论不休。同时，随着生成式人工智能的普及，青少年乃至儿童也面临着机遇和风险的考验。</w:t>
      </w:r>
    </w:p>
    <w:p w14:paraId="05788DBC">
      <w:pPr>
        <w:spacing w:line="360" w:lineRule="auto"/>
        <w:ind w:firstLine="488" w:firstLineChars="200"/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据新华社报道，澳大利亚联邦议会参众两院11月通过了《2024网络安全（社交媒体最低年龄）修正案》，禁止16岁以下未成年人使用多数社交媒体。相关规定将在12个月后生效。当地媒体预计，脸书（Facebook）、X、照片墙（Instagram）等网络社交平台将受到影响。</w:t>
      </w:r>
    </w:p>
    <w:p w14:paraId="1EC8B0D0">
      <w:pPr>
        <w:spacing w:line="360" w:lineRule="auto"/>
        <w:ind w:firstLine="488" w:firstLineChars="200"/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西悉尼大学文化与社会研究所数字社会与文化研究首席研究员、教授阿曼达·瑟德（Amanda Third）表示，非常理解一些父母担心社交媒体对孩子的影响和伤害，但是禁令并没有解决当前所面临的挑战。对儿童、年轻人，甚至更广泛的社会而言，承担的机会成本将会非常高。</w:t>
      </w:r>
    </w:p>
    <w:p w14:paraId="622E23B1">
      <w:pPr>
        <w:spacing w:line="360" w:lineRule="auto"/>
        <w:ind w:firstLine="488" w:firstLineChars="200"/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近年来，在欧美政府的敦促和处罚之下，多个社交平台在内容监管方面采取了诸多措施，并开始利用人工智能进行内容审核。不过，瑟德指出，问题不在于社交平台公司是否采取更多措施加强内容监管，而是倡导平台安全的工作在这些科技公司中往往是被边缘化的，而非业务的核心支柱，因此需要合理的法规来促使科技巨头将监管业务置于核心。</w:t>
      </w:r>
    </w:p>
    <w:p w14:paraId="7E25113C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瑟德建议，在孩子接触电子设备的早期，家长们就应该帮助孩子学会有效地管理自己的社交媒体实践，与孩子建立并更新规则。</w:t>
      </w:r>
    </w:p>
    <w:p w14:paraId="2736513E">
      <w:pPr>
        <w:numPr>
          <w:ilvl w:val="0"/>
          <w:numId w:val="0"/>
        </w:numPr>
        <w:spacing w:line="360" w:lineRule="auto"/>
        <w:ind w:left="0" w:leftChars="0"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（2）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评分标准</w:t>
      </w:r>
    </w:p>
    <w:tbl>
      <w:tblPr>
        <w:tblStyle w:val="3"/>
        <w:tblpPr w:leftFromText="180" w:rightFromText="180" w:vertAnchor="text" w:horzAnchor="page" w:tblpX="1889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3983"/>
        <w:gridCol w:w="1150"/>
        <w:gridCol w:w="928"/>
        <w:gridCol w:w="1058"/>
      </w:tblGrid>
      <w:tr w14:paraId="2CBAE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3B22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bookmarkStart w:id="0" w:name="_GoBack" w:colFirst="2" w:colLast="4"/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项目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ACD7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项目评分细则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821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分值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8E0F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扣分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DE96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得分</w:t>
            </w:r>
          </w:p>
        </w:tc>
      </w:tr>
      <w:tr w14:paraId="6367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E2E2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标题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1386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标题拟定合理，紧扣文章主题。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5E09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5527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B49A7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2DB09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F58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逻辑结构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395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观点鲜明，思路清晰，逻辑通畅，结构合理。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3D5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A148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534F1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77254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DFCE7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语言规范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BEA50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用词准确，句子结构完整，语法正确，表达简洁明了，字数不少于600字。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965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49D1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D1D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23B7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BBAE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综合评定</w:t>
            </w: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DF04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思想性：进行了深入的思考和分析，内容具有深度；观点独特、新颖；能够提出具有建设性的建议或解决方案；能够巧妙运用论据支撑其观点。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670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5643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839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bookmarkEnd w:id="0"/>
      <w:tr w14:paraId="7F32F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75C0B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4E3A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整洁度：卷面整洁、美观。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49055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665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3BD1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38F0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A1B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合计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8A32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5656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6E476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</w:tbl>
    <w:p w14:paraId="29485B3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</w:p>
    <w:p w14:paraId="6E3FC227">
      <w:pPr>
        <w:numPr>
          <w:ilvl w:val="0"/>
          <w:numId w:val="0"/>
        </w:numPr>
        <w:spacing w:line="360" w:lineRule="auto"/>
        <w:ind w:left="0" w:leftChars="0"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二、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故事编写</w:t>
      </w:r>
    </w:p>
    <w:p w14:paraId="449EC072">
      <w:pPr>
        <w:numPr>
          <w:ilvl w:val="0"/>
          <w:numId w:val="0"/>
        </w:num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（1）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测试内容</w:t>
      </w:r>
    </w:p>
    <w:p w14:paraId="3FA9ACF2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根据题目要求，编写一个完整的故事。</w:t>
      </w:r>
    </w:p>
    <w:p w14:paraId="1605747B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例题：</w:t>
      </w:r>
      <w:r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以“打开那道打不开的门”为主题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，根据要求</w:t>
      </w:r>
      <w:r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进行写作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。</w:t>
      </w:r>
    </w:p>
    <w:p w14:paraId="70CA0ED9">
      <w:pPr>
        <w:numPr>
          <w:ilvl w:val="0"/>
          <w:numId w:val="2"/>
        </w:num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标题自拟，编写一个完整的故事；</w:t>
      </w:r>
    </w:p>
    <w:p w14:paraId="2D206018">
      <w:pPr>
        <w:numPr>
          <w:ilvl w:val="0"/>
          <w:numId w:val="2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情节合理，语言流畅，故事性强；</w:t>
      </w:r>
    </w:p>
    <w:p w14:paraId="2272BE21">
      <w:pPr>
        <w:numPr>
          <w:ilvl w:val="0"/>
          <w:numId w:val="2"/>
        </w:num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字数不少于500字。</w:t>
      </w:r>
    </w:p>
    <w:p w14:paraId="465FAD64">
      <w:pPr>
        <w:numPr>
          <w:ilvl w:val="0"/>
          <w:numId w:val="0"/>
        </w:numPr>
        <w:spacing w:line="360" w:lineRule="auto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（2）评分标准</w:t>
      </w:r>
    </w:p>
    <w:tbl>
      <w:tblPr>
        <w:tblStyle w:val="3"/>
        <w:tblpPr w:leftFromText="180" w:rightFromText="180" w:vertAnchor="text" w:horzAnchor="page" w:tblpX="1889" w:tblpY="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3931"/>
        <w:gridCol w:w="1150"/>
        <w:gridCol w:w="928"/>
        <w:gridCol w:w="1058"/>
      </w:tblGrid>
      <w:tr w14:paraId="5CD83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E5DE0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项目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6DE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项目评分细则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B0D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分值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334CA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扣分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4247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得分</w:t>
            </w:r>
          </w:p>
        </w:tc>
      </w:tr>
      <w:tr w14:paraId="61DD7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A15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标题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2CA4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标题拟定合理，紧扣文章主题。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53B2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67C8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6845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675D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6553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主题结构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6361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故事主题符合题目要求；故事情节完整合理，逻辑通畅，结构合理。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E54B4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64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19B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323E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C1541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语言规范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135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用词准确，句子结构完整，语法正确，表达简洁明了，字数不少于600字。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C0F73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10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D868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DD60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10870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3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2AEBD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综合评定</w:t>
            </w: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1237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创意性：故事情节具有创意，情节紧凑，起伏有致，能够吸引读者阅读。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F74B4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642FC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312C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21D55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3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A2D9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3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AD8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left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整洁度：卷面整洁、美观。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7B14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5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CC30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4AB1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  <w:tr w14:paraId="1F047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8D1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合计</w:t>
            </w:r>
          </w:p>
        </w:tc>
        <w:tc>
          <w:tcPr>
            <w:tcW w:w="1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EA4FA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default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  <w:t>40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35FA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239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440" w:lineRule="exact"/>
              <w:ind w:right="0"/>
              <w:jc w:val="center"/>
              <w:textAlignment w:val="auto"/>
              <w:rPr>
                <w:rFonts w:hint="eastAsia" w:ascii="宋体" w:hAnsi="宋体" w:eastAsia="宋体" w:cs="仿宋"/>
                <w:color w:val="000000"/>
                <w:spacing w:val="12"/>
                <w:kern w:val="2"/>
                <w:sz w:val="22"/>
                <w:szCs w:val="22"/>
                <w:shd w:val="clear" w:color="auto" w:fill="FFFFFF"/>
                <w:lang w:val="en-US" w:eastAsia="zh-CN" w:bidi="ar-SA"/>
              </w:rPr>
            </w:pPr>
          </w:p>
        </w:tc>
      </w:tr>
    </w:tbl>
    <w:p w14:paraId="7E26DBF3">
      <w:pPr>
        <w:pStyle w:val="2"/>
        <w:widowControl/>
        <w:shd w:val="clear" w:color="auto" w:fill="FFFFFF"/>
        <w:spacing w:line="360" w:lineRule="auto"/>
        <w:ind w:firstLine="449"/>
        <w:jc w:val="left"/>
        <w:rPr>
          <w:rFonts w:hint="default" w:ascii="宋体" w:hAnsi="宋体" w:eastAsia="宋体" w:cs="宋体"/>
          <w:color w:val="000000"/>
          <w:spacing w:val="12"/>
          <w:sz w:val="22"/>
          <w:szCs w:val="22"/>
          <w:lang w:val="en-US" w:eastAsia="zh-CN"/>
        </w:rPr>
      </w:pPr>
    </w:p>
    <w:p w14:paraId="0A37498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30" w:afterAutospacing="0"/>
        <w:ind w:right="0"/>
        <w:jc w:val="center"/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第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部分：融媒体运营基础能力（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  <w:lang w:eastAsia="zh-CN"/>
        </w:rPr>
        <w:t>0</w:t>
      </w:r>
      <w:r>
        <w:rPr>
          <w:rFonts w:hint="eastAsia" w:ascii="仿宋" w:hAnsi="仿宋" w:eastAsia="仿宋" w:cs="仿宋"/>
          <w:b/>
          <w:bCs/>
          <w:color w:val="000000"/>
          <w:spacing w:val="12"/>
          <w:sz w:val="32"/>
          <w:szCs w:val="32"/>
        </w:rPr>
        <w:t>分）</w:t>
      </w:r>
    </w:p>
    <w:p w14:paraId="6AA2CEBE">
      <w:p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该项目共两道题，限时90分钟。</w:t>
      </w:r>
    </w:p>
    <w:p w14:paraId="700F787E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一、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题目：短视频封面制作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30分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）</w:t>
      </w:r>
    </w:p>
    <w:p w14:paraId="4A663790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任务要求：</w:t>
      </w:r>
    </w:p>
    <w:p w14:paraId="3DEEB70D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根据以下要求，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完成短视频封面制作。</w:t>
      </w:r>
    </w:p>
    <w:p w14:paraId="5EC571BA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（1）该封面主标题为：云顶小技巧；副标题为：一分钟学会新版九五</w:t>
      </w:r>
    </w:p>
    <w:p w14:paraId="0AAA4346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（2）添加一张封面背景图</w:t>
      </w:r>
    </w:p>
    <w:p w14:paraId="6545709A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（3）封面尺寸设置为1</w:t>
      </w:r>
      <w:r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242*1660</w:t>
      </w:r>
    </w:p>
    <w:p w14:paraId="7998D62B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（4）在封面左下角添加水印，水印内容为@小天才，该水印颜色为黄色。</w:t>
      </w:r>
    </w:p>
    <w:p w14:paraId="7760662D">
      <w:pPr>
        <w:spacing w:line="360" w:lineRule="auto"/>
        <w:ind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（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）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将图片导出提交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eastAsia="zh-CN"/>
        </w:rPr>
        <w:t>，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格式为JPG、IPEG或PNG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。</w:t>
      </w:r>
    </w:p>
    <w:p w14:paraId="7FEA4233">
      <w:pPr>
        <w:spacing w:line="360" w:lineRule="auto"/>
        <w:ind w:firstLine="488" w:firstLine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提示：可使用美图秀秀、PS等。</w:t>
      </w:r>
    </w:p>
    <w:p w14:paraId="5226AB09">
      <w:pPr>
        <w:spacing w:line="360" w:lineRule="auto"/>
        <w:ind w:firstLine="488" w:firstLineChars="200"/>
        <w:jc w:val="center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601"/>
        <w:gridCol w:w="1246"/>
      </w:tblGrid>
      <w:tr w14:paraId="16913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0C4E61F3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项目</w:t>
            </w:r>
          </w:p>
        </w:tc>
        <w:tc>
          <w:tcPr>
            <w:tcW w:w="3450" w:type="dxa"/>
          </w:tcPr>
          <w:p w14:paraId="292AABB3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评分要点</w:t>
            </w:r>
          </w:p>
        </w:tc>
        <w:tc>
          <w:tcPr>
            <w:tcW w:w="1559" w:type="dxa"/>
          </w:tcPr>
          <w:p w14:paraId="4B041DE2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要点分值</w:t>
            </w:r>
          </w:p>
        </w:tc>
        <w:tc>
          <w:tcPr>
            <w:tcW w:w="1213" w:type="dxa"/>
          </w:tcPr>
          <w:p w14:paraId="77A6D143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得分</w:t>
            </w:r>
          </w:p>
        </w:tc>
      </w:tr>
      <w:tr w14:paraId="3413E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1536D2F1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尺寸设置</w:t>
            </w:r>
          </w:p>
        </w:tc>
        <w:tc>
          <w:tcPr>
            <w:tcW w:w="3450" w:type="dxa"/>
          </w:tcPr>
          <w:p w14:paraId="551FF8DF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封面尺寸</w:t>
            </w:r>
          </w:p>
        </w:tc>
        <w:tc>
          <w:tcPr>
            <w:tcW w:w="1559" w:type="dxa"/>
          </w:tcPr>
          <w:p w14:paraId="360C73E8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dxa"/>
          </w:tcPr>
          <w:p w14:paraId="5F2AC3EA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37EBD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 w14:paraId="60E47D45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操作设置</w:t>
            </w:r>
          </w:p>
        </w:tc>
        <w:tc>
          <w:tcPr>
            <w:tcW w:w="3450" w:type="dxa"/>
          </w:tcPr>
          <w:p w14:paraId="42521E08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背景图添加</w:t>
            </w:r>
          </w:p>
        </w:tc>
        <w:tc>
          <w:tcPr>
            <w:tcW w:w="1559" w:type="dxa"/>
          </w:tcPr>
          <w:p w14:paraId="3190528E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13" w:type="dxa"/>
          </w:tcPr>
          <w:p w14:paraId="3FF10AA9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E9AE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0A647739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0" w:type="dxa"/>
          </w:tcPr>
          <w:p w14:paraId="3339B23B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主标题与副标题添加</w:t>
            </w:r>
          </w:p>
        </w:tc>
        <w:tc>
          <w:tcPr>
            <w:tcW w:w="1559" w:type="dxa"/>
          </w:tcPr>
          <w:p w14:paraId="0931E6DF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dxa"/>
          </w:tcPr>
          <w:p w14:paraId="771DE001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10306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610BD02E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50" w:type="dxa"/>
          </w:tcPr>
          <w:p w14:paraId="530EE3F8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水印添加</w:t>
            </w:r>
          </w:p>
        </w:tc>
        <w:tc>
          <w:tcPr>
            <w:tcW w:w="1559" w:type="dxa"/>
          </w:tcPr>
          <w:p w14:paraId="3BD8D432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dxa"/>
          </w:tcPr>
          <w:p w14:paraId="309EE2D2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7F05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 w14:paraId="4718C3FA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图文设置</w:t>
            </w:r>
          </w:p>
        </w:tc>
        <w:tc>
          <w:tcPr>
            <w:tcW w:w="3450" w:type="dxa"/>
          </w:tcPr>
          <w:p w14:paraId="4483986D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图片主体清晰；</w:t>
            </w:r>
          </w:p>
          <w:p w14:paraId="481D2D55">
            <w:pPr>
              <w:spacing w:line="360" w:lineRule="auto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文字内容清晰</w:t>
            </w: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559" w:type="dxa"/>
          </w:tcPr>
          <w:p w14:paraId="41BC6650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13" w:type="dxa"/>
          </w:tcPr>
          <w:p w14:paraId="15E85C0A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6908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restart"/>
          </w:tcPr>
          <w:p w14:paraId="246C10AE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综合评定</w:t>
            </w:r>
          </w:p>
        </w:tc>
        <w:tc>
          <w:tcPr>
            <w:tcW w:w="3450" w:type="dxa"/>
          </w:tcPr>
          <w:p w14:paraId="22CB8C01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构图合理（背景图中的主体大小、文字摆放位置）</w:t>
            </w:r>
          </w:p>
        </w:tc>
        <w:tc>
          <w:tcPr>
            <w:tcW w:w="1559" w:type="dxa"/>
          </w:tcPr>
          <w:p w14:paraId="31F5322C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13" w:type="dxa"/>
          </w:tcPr>
          <w:p w14:paraId="51E80957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44A3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11B2605A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450" w:type="dxa"/>
          </w:tcPr>
          <w:p w14:paraId="2B9E8629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色彩搭配合理</w:t>
            </w:r>
          </w:p>
        </w:tc>
        <w:tc>
          <w:tcPr>
            <w:tcW w:w="1559" w:type="dxa"/>
          </w:tcPr>
          <w:p w14:paraId="5B92BA65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13" w:type="dxa"/>
          </w:tcPr>
          <w:p w14:paraId="12D398C0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645D1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Merge w:val="continue"/>
          </w:tcPr>
          <w:p w14:paraId="225C9A04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450" w:type="dxa"/>
          </w:tcPr>
          <w:p w14:paraId="6066B2A3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创意表现</w:t>
            </w:r>
          </w:p>
        </w:tc>
        <w:tc>
          <w:tcPr>
            <w:tcW w:w="1559" w:type="dxa"/>
          </w:tcPr>
          <w:p w14:paraId="39E7F9DB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13" w:type="dxa"/>
          </w:tcPr>
          <w:p w14:paraId="61548452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0FF14542">
      <w:pPr>
        <w:spacing w:line="360" w:lineRule="auto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 w14:paraId="58E1A641">
      <w:pPr>
        <w:numPr>
          <w:ilvl w:val="0"/>
          <w:numId w:val="0"/>
        </w:numPr>
        <w:spacing w:line="360" w:lineRule="auto"/>
        <w:ind w:left="0" w:leftChars="0" w:firstLine="488" w:firstLine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kern w:val="2"/>
          <w:sz w:val="22"/>
          <w:szCs w:val="22"/>
          <w:shd w:val="clear" w:fill="FFFFFF"/>
          <w:lang w:val="en-US" w:eastAsia="zh-CN" w:bidi="ar-SA"/>
        </w:rPr>
        <w:t>二、</w:t>
      </w: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题目：视频编辑（30分）</w:t>
      </w:r>
    </w:p>
    <w:p w14:paraId="28A02E3F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任务要求：</w:t>
      </w:r>
    </w:p>
    <w:p w14:paraId="0CD11D5F">
      <w:pPr>
        <w:numPr>
          <w:ilvl w:val="0"/>
          <w:numId w:val="0"/>
        </w:numPr>
        <w:spacing w:line="360" w:lineRule="auto"/>
        <w:ind w:left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根据以下要求，完成视频编辑。</w:t>
      </w:r>
    </w:p>
    <w:p w14:paraId="20CDAEC3">
      <w:pPr>
        <w:numPr>
          <w:ilvl w:val="0"/>
          <w:numId w:val="3"/>
        </w:numPr>
        <w:spacing w:line="360" w:lineRule="auto"/>
        <w:ind w:left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分辨率设置为1920×1080；帧率设置为25</w:t>
      </w:r>
    </w:p>
    <w:p w14:paraId="06D33EF1">
      <w:pPr>
        <w:numPr>
          <w:ilvl w:val="0"/>
          <w:numId w:val="3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使用剃刀工具，将素材1裁剪为10秒</w:t>
      </w:r>
    </w:p>
    <w:p w14:paraId="7107FA92">
      <w:pPr>
        <w:numPr>
          <w:ilvl w:val="0"/>
          <w:numId w:val="3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在同一条轨道上添加素材2，将素材2中的声音去掉</w:t>
      </w:r>
    </w:p>
    <w:p w14:paraId="0704B62C">
      <w:pPr>
        <w:numPr>
          <w:ilvl w:val="0"/>
          <w:numId w:val="3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在同一条轨道上添加素材3，使用变速效果，将素材3的画面速度变成2倍速</w:t>
      </w:r>
    </w:p>
    <w:p w14:paraId="7D59083F">
      <w:pPr>
        <w:numPr>
          <w:ilvl w:val="0"/>
          <w:numId w:val="3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将三条素材拼接在一起，在素材2与素材3中间添加视频过渡效果（转场效果）</w:t>
      </w:r>
    </w:p>
    <w:p w14:paraId="11462B9D">
      <w:pPr>
        <w:numPr>
          <w:ilvl w:val="0"/>
          <w:numId w:val="3"/>
        </w:numPr>
        <w:spacing w:line="360" w:lineRule="auto"/>
        <w:ind w:left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在视频的右下角添加字幕，字幕内容为“湖南体育职业学院”，字体颜色为红色</w:t>
      </w:r>
    </w:p>
    <w:p w14:paraId="5E7D3731">
      <w:pPr>
        <w:numPr>
          <w:ilvl w:val="0"/>
          <w:numId w:val="3"/>
        </w:numPr>
        <w:spacing w:line="360" w:lineRule="auto"/>
        <w:ind w:leftChars="200"/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导出视频，格式为MP4</w:t>
      </w:r>
    </w:p>
    <w:p w14:paraId="71F48AE1">
      <w:pPr>
        <w:numPr>
          <w:ilvl w:val="0"/>
          <w:numId w:val="0"/>
        </w:numPr>
        <w:spacing w:line="360" w:lineRule="auto"/>
        <w:ind w:leftChars="200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  <w:t>提示：可使用PR、剪映等</w:t>
      </w:r>
    </w:p>
    <w:p w14:paraId="27AB357C">
      <w:pPr>
        <w:spacing w:line="360" w:lineRule="auto"/>
        <w:ind w:firstLine="488" w:firstLineChars="200"/>
        <w:jc w:val="center"/>
        <w:rPr>
          <w:rFonts w:hint="default" w:ascii="宋体" w:hAnsi="宋体" w:eastAsia="宋体" w:cs="仿宋"/>
          <w:color w:val="000000"/>
          <w:spacing w:val="12"/>
          <w:sz w:val="22"/>
          <w:szCs w:val="22"/>
          <w:shd w:val="clear" w:color="auto" w:fill="FFFFFF"/>
          <w:lang w:val="en-US" w:eastAsia="zh-CN"/>
        </w:rPr>
      </w:pPr>
      <w:r>
        <w:rPr>
          <w:rFonts w:hint="eastAsia"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  <w:t>评分标准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3543"/>
        <w:gridCol w:w="1601"/>
        <w:gridCol w:w="1246"/>
      </w:tblGrid>
      <w:tr w14:paraId="73251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5148E01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项目</w:t>
            </w:r>
          </w:p>
        </w:tc>
        <w:tc>
          <w:tcPr>
            <w:tcW w:w="3543" w:type="dxa"/>
          </w:tcPr>
          <w:p w14:paraId="2B0D94E7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评分要点</w:t>
            </w:r>
          </w:p>
        </w:tc>
        <w:tc>
          <w:tcPr>
            <w:tcW w:w="1601" w:type="dxa"/>
          </w:tcPr>
          <w:p w14:paraId="1C5930FF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要点分值</w:t>
            </w:r>
          </w:p>
        </w:tc>
        <w:tc>
          <w:tcPr>
            <w:tcW w:w="1246" w:type="dxa"/>
          </w:tcPr>
          <w:p w14:paraId="58256018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得分</w:t>
            </w:r>
          </w:p>
        </w:tc>
      </w:tr>
      <w:tr w14:paraId="675D2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FC68AA3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尺寸设置</w:t>
            </w:r>
          </w:p>
        </w:tc>
        <w:tc>
          <w:tcPr>
            <w:tcW w:w="3543" w:type="dxa"/>
          </w:tcPr>
          <w:p w14:paraId="6F9E2037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分辨率、帧率</w:t>
            </w:r>
          </w:p>
        </w:tc>
        <w:tc>
          <w:tcPr>
            <w:tcW w:w="1601" w:type="dxa"/>
          </w:tcPr>
          <w:p w14:paraId="2EC43E21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46" w:type="dxa"/>
          </w:tcPr>
          <w:p w14:paraId="1B2D0BCA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30F1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 w14:paraId="31C497AE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  <w:t>操作设置</w:t>
            </w:r>
          </w:p>
          <w:p w14:paraId="7A2B04D6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543" w:type="dxa"/>
          </w:tcPr>
          <w:p w14:paraId="0DAFC416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素材1裁剪</w:t>
            </w:r>
          </w:p>
        </w:tc>
        <w:tc>
          <w:tcPr>
            <w:tcW w:w="1601" w:type="dxa"/>
          </w:tcPr>
          <w:p w14:paraId="74B1628B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46" w:type="dxa"/>
          </w:tcPr>
          <w:p w14:paraId="54CC8D62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48803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0CFF7F1D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</w:tcPr>
          <w:p w14:paraId="7285CFD9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素材2消声</w:t>
            </w:r>
          </w:p>
        </w:tc>
        <w:tc>
          <w:tcPr>
            <w:tcW w:w="1601" w:type="dxa"/>
          </w:tcPr>
          <w:p w14:paraId="22CE4D0E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46" w:type="dxa"/>
          </w:tcPr>
          <w:p w14:paraId="27939275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3886A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3F999B1A">
            <w:pPr>
              <w:spacing w:line="360" w:lineRule="auto"/>
              <w:jc w:val="center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543" w:type="dxa"/>
          </w:tcPr>
          <w:p w14:paraId="7ACF9960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素材3变速</w:t>
            </w:r>
          </w:p>
        </w:tc>
        <w:tc>
          <w:tcPr>
            <w:tcW w:w="1601" w:type="dxa"/>
          </w:tcPr>
          <w:p w14:paraId="05D18A8C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46" w:type="dxa"/>
          </w:tcPr>
          <w:p w14:paraId="3FD9443E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8A99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5B5B48B8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543" w:type="dxa"/>
          </w:tcPr>
          <w:p w14:paraId="72CFF21E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素材拼接</w:t>
            </w:r>
          </w:p>
        </w:tc>
        <w:tc>
          <w:tcPr>
            <w:tcW w:w="1601" w:type="dxa"/>
          </w:tcPr>
          <w:p w14:paraId="314C2E8F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46" w:type="dxa"/>
          </w:tcPr>
          <w:p w14:paraId="6242129C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59BB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6393A6D4">
            <w:pPr>
              <w:spacing w:line="360" w:lineRule="auto"/>
              <w:jc w:val="center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543" w:type="dxa"/>
          </w:tcPr>
          <w:p w14:paraId="2B1D4F31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过渡效果添加</w:t>
            </w:r>
          </w:p>
        </w:tc>
        <w:tc>
          <w:tcPr>
            <w:tcW w:w="1601" w:type="dxa"/>
          </w:tcPr>
          <w:p w14:paraId="0AF9AC92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46" w:type="dxa"/>
          </w:tcPr>
          <w:p w14:paraId="7F1D3CA7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6A510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2647833C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543" w:type="dxa"/>
          </w:tcPr>
          <w:p w14:paraId="149DE6C3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字幕添加</w:t>
            </w:r>
          </w:p>
        </w:tc>
        <w:tc>
          <w:tcPr>
            <w:tcW w:w="1601" w:type="dxa"/>
          </w:tcPr>
          <w:p w14:paraId="688DB99F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2.5</w:t>
            </w:r>
          </w:p>
        </w:tc>
        <w:tc>
          <w:tcPr>
            <w:tcW w:w="1246" w:type="dxa"/>
          </w:tcPr>
          <w:p w14:paraId="50B9D37C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  <w:tr w14:paraId="008AF8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</w:tcPr>
          <w:p w14:paraId="1418247C">
            <w:pPr>
              <w:spacing w:line="360" w:lineRule="auto"/>
              <w:jc w:val="center"/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</w:p>
        </w:tc>
        <w:tc>
          <w:tcPr>
            <w:tcW w:w="3543" w:type="dxa"/>
          </w:tcPr>
          <w:p w14:paraId="3754588C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视频格式</w:t>
            </w:r>
          </w:p>
        </w:tc>
        <w:tc>
          <w:tcPr>
            <w:tcW w:w="1601" w:type="dxa"/>
          </w:tcPr>
          <w:p w14:paraId="5AD23778">
            <w:pPr>
              <w:spacing w:line="360" w:lineRule="auto"/>
              <w:rPr>
                <w:rFonts w:hint="default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246" w:type="dxa"/>
          </w:tcPr>
          <w:p w14:paraId="1AD17740">
            <w:pPr>
              <w:spacing w:line="360" w:lineRule="auto"/>
              <w:rPr>
                <w:rFonts w:ascii="宋体" w:hAnsi="宋体" w:eastAsia="宋体" w:cs="仿宋"/>
                <w:color w:val="000000"/>
                <w:spacing w:val="12"/>
                <w:kern w:val="0"/>
                <w:sz w:val="22"/>
                <w:szCs w:val="22"/>
                <w:shd w:val="clear" w:color="auto" w:fill="FFFFFF"/>
              </w:rPr>
            </w:pPr>
          </w:p>
        </w:tc>
      </w:tr>
    </w:tbl>
    <w:p w14:paraId="30ECBABF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 w14:paraId="4D288F98">
      <w:pPr>
        <w:spacing w:line="360" w:lineRule="auto"/>
        <w:ind w:firstLine="488" w:firstLineChars="200"/>
        <w:rPr>
          <w:rFonts w:ascii="宋体" w:hAnsi="宋体" w:eastAsia="宋体" w:cs="仿宋"/>
          <w:color w:val="000000"/>
          <w:spacing w:val="12"/>
          <w:sz w:val="22"/>
          <w:szCs w:val="22"/>
          <w:shd w:val="clear" w:color="auto" w:fill="FFFFFF"/>
        </w:rPr>
      </w:pPr>
    </w:p>
    <w:p w14:paraId="4ACB21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F370EA"/>
    <w:multiLevelType w:val="singleLevel"/>
    <w:tmpl w:val="BBF370E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F4F128"/>
    <w:multiLevelType w:val="singleLevel"/>
    <w:tmpl w:val="EAF4F12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88DFB41"/>
    <w:multiLevelType w:val="singleLevel"/>
    <w:tmpl w:val="088DFB41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316DAB"/>
    <w:rsid w:val="3F9D4EAC"/>
    <w:rsid w:val="58E50467"/>
    <w:rsid w:val="6CF1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1879</Words>
  <Characters>1987</Characters>
  <Lines>0</Lines>
  <Paragraphs>0</Paragraphs>
  <TotalTime>17</TotalTime>
  <ScaleCrop>false</ScaleCrop>
  <LinksUpToDate>false</LinksUpToDate>
  <CharactersWithSpaces>1989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2024-12-22T07:02:00Z</dcterms:created>
  <dc:creator>ASUS</dc:creator>
  <cp:lastModifiedBy>方明军</cp:lastModifiedBy>
  <dcterms:modified xsi:type="dcterms:W3CDTF">2024-12-23T09:02:19Z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B90F46C91D084CB5A5566B6EDF70E061_12</vt:lpwstr>
  </property>
</Properties>
</file>